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C91AC4" w:rsidTr="003F37AC">
        <w:tc>
          <w:tcPr>
            <w:tcW w:w="5495" w:type="dxa"/>
          </w:tcPr>
          <w:p w:rsidR="00C91AC4" w:rsidRDefault="00C91AC4" w:rsidP="003F37AC">
            <w:pPr>
              <w:widowControl w:val="0"/>
              <w:ind w:right="397"/>
              <w:jc w:val="both"/>
              <w:rPr>
                <w:b/>
                <w:bCs/>
              </w:rPr>
            </w:pPr>
            <w:r>
              <w:rPr>
                <w:b/>
              </w:rPr>
              <w:t>EAST AREA PLANNING COMMITTEE</w:t>
            </w:r>
          </w:p>
        </w:tc>
        <w:tc>
          <w:tcPr>
            <w:tcW w:w="3793" w:type="dxa"/>
          </w:tcPr>
          <w:p w:rsidR="00C91AC4" w:rsidRDefault="00C91AC4" w:rsidP="003F37AC">
            <w:pPr>
              <w:widowControl w:val="0"/>
              <w:ind w:right="397"/>
              <w:jc w:val="right"/>
            </w:pPr>
          </w:p>
        </w:tc>
      </w:tr>
    </w:tbl>
    <w:p w:rsidR="00C91AC4" w:rsidRDefault="00C91AC4" w:rsidP="00C91AC4">
      <w:pPr>
        <w:jc w:val="both"/>
      </w:pPr>
    </w:p>
    <w:tbl>
      <w:tblPr>
        <w:tblW w:w="0" w:type="auto"/>
        <w:tblLook w:val="0000" w:firstRow="0" w:lastRow="0" w:firstColumn="0" w:lastColumn="0" w:noHBand="0" w:noVBand="0"/>
      </w:tblPr>
      <w:tblGrid>
        <w:gridCol w:w="2652"/>
        <w:gridCol w:w="6590"/>
      </w:tblGrid>
      <w:tr w:rsidR="00C91AC4" w:rsidTr="003F37AC">
        <w:tc>
          <w:tcPr>
            <w:tcW w:w="2660" w:type="dxa"/>
          </w:tcPr>
          <w:p w:rsidR="00C91AC4" w:rsidRDefault="00C91AC4" w:rsidP="003F37AC">
            <w:pPr>
              <w:jc w:val="both"/>
            </w:pPr>
            <w:r>
              <w:rPr>
                <w:b/>
                <w:bCs/>
              </w:rPr>
              <w:t>Application Number:</w:t>
            </w:r>
          </w:p>
        </w:tc>
        <w:tc>
          <w:tcPr>
            <w:tcW w:w="6627" w:type="dxa"/>
          </w:tcPr>
          <w:p w:rsidR="00C91AC4" w:rsidRDefault="00C91AC4" w:rsidP="003F37AC">
            <w:pPr>
              <w:jc w:val="both"/>
            </w:pPr>
            <w:r>
              <w:t>18/01329/FUL</w:t>
            </w:r>
          </w:p>
        </w:tc>
      </w:tr>
      <w:tr w:rsidR="00C91AC4" w:rsidTr="003F37AC">
        <w:tc>
          <w:tcPr>
            <w:tcW w:w="2660" w:type="dxa"/>
          </w:tcPr>
          <w:p w:rsidR="00C91AC4" w:rsidRDefault="00C91AC4" w:rsidP="003F37AC">
            <w:pPr>
              <w:jc w:val="both"/>
            </w:pPr>
          </w:p>
        </w:tc>
        <w:tc>
          <w:tcPr>
            <w:tcW w:w="6627" w:type="dxa"/>
          </w:tcPr>
          <w:p w:rsidR="00C91AC4" w:rsidRDefault="00C91AC4" w:rsidP="003F37AC">
            <w:pPr>
              <w:jc w:val="both"/>
            </w:pPr>
          </w:p>
        </w:tc>
      </w:tr>
      <w:tr w:rsidR="00C91AC4" w:rsidTr="003F37AC">
        <w:tc>
          <w:tcPr>
            <w:tcW w:w="2660" w:type="dxa"/>
          </w:tcPr>
          <w:p w:rsidR="00C91AC4" w:rsidRDefault="00C91AC4" w:rsidP="003F37AC">
            <w:pPr>
              <w:jc w:val="both"/>
            </w:pPr>
            <w:r>
              <w:rPr>
                <w:b/>
                <w:bCs/>
              </w:rPr>
              <w:t>Decision Due by:</w:t>
            </w:r>
          </w:p>
        </w:tc>
        <w:tc>
          <w:tcPr>
            <w:tcW w:w="6627" w:type="dxa"/>
          </w:tcPr>
          <w:p w:rsidR="00C91AC4" w:rsidRPr="000E777F" w:rsidRDefault="00C91AC4" w:rsidP="003F37AC">
            <w:pPr>
              <w:jc w:val="both"/>
            </w:pPr>
            <w:r>
              <w:t>20th August 2018</w:t>
            </w:r>
          </w:p>
        </w:tc>
      </w:tr>
      <w:tr w:rsidR="00C91AC4" w:rsidTr="003F37AC">
        <w:tc>
          <w:tcPr>
            <w:tcW w:w="2660" w:type="dxa"/>
          </w:tcPr>
          <w:p w:rsidR="00C91AC4" w:rsidRDefault="00C91AC4" w:rsidP="003F37AC">
            <w:pPr>
              <w:jc w:val="both"/>
            </w:pPr>
          </w:p>
        </w:tc>
        <w:tc>
          <w:tcPr>
            <w:tcW w:w="6627" w:type="dxa"/>
          </w:tcPr>
          <w:p w:rsidR="00C91AC4" w:rsidRDefault="00C91AC4" w:rsidP="003F37AC">
            <w:pPr>
              <w:jc w:val="both"/>
            </w:pPr>
          </w:p>
        </w:tc>
      </w:tr>
      <w:tr w:rsidR="00C91AC4" w:rsidTr="003F37AC">
        <w:tc>
          <w:tcPr>
            <w:tcW w:w="2660" w:type="dxa"/>
          </w:tcPr>
          <w:p w:rsidR="00C91AC4" w:rsidRPr="00AD7F54" w:rsidRDefault="00C91AC4" w:rsidP="003F37AC">
            <w:pPr>
              <w:jc w:val="both"/>
              <w:rPr>
                <w:b/>
              </w:rPr>
            </w:pPr>
            <w:r w:rsidRPr="00AD7F54">
              <w:rPr>
                <w:b/>
              </w:rPr>
              <w:t>Extension of Time:</w:t>
            </w:r>
          </w:p>
        </w:tc>
        <w:tc>
          <w:tcPr>
            <w:tcW w:w="6627" w:type="dxa"/>
          </w:tcPr>
          <w:p w:rsidR="00C91AC4" w:rsidRDefault="00C91AC4" w:rsidP="003F37AC">
            <w:pPr>
              <w:jc w:val="both"/>
            </w:pPr>
          </w:p>
        </w:tc>
      </w:tr>
      <w:tr w:rsidR="00C91AC4" w:rsidTr="003F37AC">
        <w:tc>
          <w:tcPr>
            <w:tcW w:w="2660" w:type="dxa"/>
          </w:tcPr>
          <w:p w:rsidR="00C91AC4" w:rsidRDefault="00C91AC4" w:rsidP="003F37AC">
            <w:pPr>
              <w:jc w:val="both"/>
            </w:pPr>
          </w:p>
        </w:tc>
        <w:tc>
          <w:tcPr>
            <w:tcW w:w="6627" w:type="dxa"/>
          </w:tcPr>
          <w:p w:rsidR="00C91AC4" w:rsidRDefault="00C91AC4" w:rsidP="003F37AC">
            <w:pPr>
              <w:jc w:val="both"/>
            </w:pPr>
          </w:p>
        </w:tc>
      </w:tr>
      <w:tr w:rsidR="00C91AC4" w:rsidTr="003F37AC">
        <w:tc>
          <w:tcPr>
            <w:tcW w:w="2660" w:type="dxa"/>
          </w:tcPr>
          <w:p w:rsidR="00C91AC4" w:rsidRDefault="00C91AC4" w:rsidP="003F37AC">
            <w:pPr>
              <w:jc w:val="both"/>
              <w:rPr>
                <w:b/>
                <w:bCs/>
              </w:rPr>
            </w:pPr>
            <w:r>
              <w:rPr>
                <w:b/>
                <w:bCs/>
              </w:rPr>
              <w:t>Proposal:</w:t>
            </w:r>
          </w:p>
        </w:tc>
        <w:tc>
          <w:tcPr>
            <w:tcW w:w="6627" w:type="dxa"/>
          </w:tcPr>
          <w:p w:rsidR="00C91AC4" w:rsidRDefault="00C91AC4" w:rsidP="003F37AC">
            <w:pPr>
              <w:jc w:val="both"/>
            </w:pPr>
            <w:r>
              <w:t xml:space="preserve">Construction of two-storey building </w:t>
            </w:r>
            <w:proofErr w:type="gramStart"/>
            <w:r>
              <w:t>for  training</w:t>
            </w:r>
            <w:proofErr w:type="gramEnd"/>
            <w:r>
              <w:t xml:space="preserve"> purposes and associated external works such as creation of access road, car park and means of enclosure.</w:t>
            </w:r>
          </w:p>
        </w:tc>
      </w:tr>
      <w:tr w:rsidR="00C91AC4" w:rsidTr="003F37AC">
        <w:tc>
          <w:tcPr>
            <w:tcW w:w="2660" w:type="dxa"/>
          </w:tcPr>
          <w:p w:rsidR="00C91AC4" w:rsidRDefault="00C91AC4" w:rsidP="003F37AC">
            <w:pPr>
              <w:jc w:val="both"/>
              <w:rPr>
                <w:b/>
                <w:bCs/>
              </w:rPr>
            </w:pPr>
          </w:p>
        </w:tc>
        <w:tc>
          <w:tcPr>
            <w:tcW w:w="6627" w:type="dxa"/>
          </w:tcPr>
          <w:p w:rsidR="00C91AC4" w:rsidRDefault="00C91AC4" w:rsidP="003F37AC">
            <w:pPr>
              <w:jc w:val="both"/>
            </w:pPr>
          </w:p>
        </w:tc>
      </w:tr>
      <w:tr w:rsidR="00C91AC4" w:rsidTr="003F37AC">
        <w:tc>
          <w:tcPr>
            <w:tcW w:w="2660" w:type="dxa"/>
          </w:tcPr>
          <w:p w:rsidR="00C91AC4" w:rsidRDefault="00C91AC4" w:rsidP="003F37AC">
            <w:pPr>
              <w:jc w:val="both"/>
              <w:rPr>
                <w:b/>
                <w:bCs/>
              </w:rPr>
            </w:pPr>
            <w:r>
              <w:rPr>
                <w:b/>
                <w:bCs/>
              </w:rPr>
              <w:t>Site Address:</w:t>
            </w:r>
          </w:p>
        </w:tc>
        <w:tc>
          <w:tcPr>
            <w:tcW w:w="6627" w:type="dxa"/>
          </w:tcPr>
          <w:p w:rsidR="00C91AC4" w:rsidRDefault="00C91AC4" w:rsidP="003F37AC">
            <w:pPr>
              <w:jc w:val="both"/>
            </w:pPr>
            <w:r>
              <w:t xml:space="preserve">Land South Of,  Oxford Road,  </w:t>
            </w:r>
            <w:proofErr w:type="spellStart"/>
            <w:r>
              <w:t>Horspath</w:t>
            </w:r>
            <w:proofErr w:type="spellEnd"/>
            <w:r>
              <w:t>, Oxford</w:t>
            </w:r>
          </w:p>
        </w:tc>
      </w:tr>
      <w:tr w:rsidR="00C91AC4" w:rsidTr="003F37AC">
        <w:tc>
          <w:tcPr>
            <w:tcW w:w="2660" w:type="dxa"/>
          </w:tcPr>
          <w:p w:rsidR="00C91AC4" w:rsidRDefault="00C91AC4" w:rsidP="003F37AC">
            <w:pPr>
              <w:jc w:val="both"/>
            </w:pPr>
          </w:p>
        </w:tc>
        <w:tc>
          <w:tcPr>
            <w:tcW w:w="6627" w:type="dxa"/>
          </w:tcPr>
          <w:p w:rsidR="00C91AC4" w:rsidRDefault="00C91AC4" w:rsidP="003F37AC">
            <w:pPr>
              <w:jc w:val="both"/>
            </w:pPr>
          </w:p>
        </w:tc>
      </w:tr>
      <w:tr w:rsidR="00C91AC4" w:rsidTr="003F37AC">
        <w:tc>
          <w:tcPr>
            <w:tcW w:w="2660" w:type="dxa"/>
          </w:tcPr>
          <w:p w:rsidR="00C91AC4" w:rsidRDefault="00C91AC4" w:rsidP="003F37AC">
            <w:pPr>
              <w:jc w:val="both"/>
              <w:rPr>
                <w:b/>
                <w:bCs/>
              </w:rPr>
            </w:pPr>
            <w:r>
              <w:rPr>
                <w:b/>
                <w:bCs/>
              </w:rPr>
              <w:t>Ward:</w:t>
            </w:r>
          </w:p>
        </w:tc>
        <w:tc>
          <w:tcPr>
            <w:tcW w:w="6627" w:type="dxa"/>
          </w:tcPr>
          <w:p w:rsidR="00C91AC4" w:rsidRDefault="00C91AC4" w:rsidP="003F37AC">
            <w:pPr>
              <w:jc w:val="both"/>
            </w:pPr>
            <w:r>
              <w:t>Lye Valley Ward</w:t>
            </w:r>
          </w:p>
        </w:tc>
      </w:tr>
    </w:tbl>
    <w:p w:rsidR="00C91AC4" w:rsidRDefault="00C91AC4" w:rsidP="00C91AC4">
      <w:pPr>
        <w:jc w:val="both"/>
      </w:pPr>
    </w:p>
    <w:tbl>
      <w:tblPr>
        <w:tblW w:w="9288" w:type="dxa"/>
        <w:tblLayout w:type="fixed"/>
        <w:tblLook w:val="0000" w:firstRow="0" w:lastRow="0" w:firstColumn="0" w:lastColumn="0" w:noHBand="0" w:noVBand="0"/>
      </w:tblPr>
      <w:tblGrid>
        <w:gridCol w:w="2660"/>
        <w:gridCol w:w="1984"/>
        <w:gridCol w:w="1418"/>
        <w:gridCol w:w="3226"/>
      </w:tblGrid>
      <w:tr w:rsidR="00C91AC4" w:rsidRPr="00F448A8" w:rsidTr="003F37AC">
        <w:tc>
          <w:tcPr>
            <w:tcW w:w="2660" w:type="dxa"/>
          </w:tcPr>
          <w:p w:rsidR="00C91AC4" w:rsidRDefault="00C91AC4" w:rsidP="003F37AC">
            <w:pPr>
              <w:rPr>
                <w:b/>
                <w:bCs/>
              </w:rPr>
            </w:pPr>
            <w:r>
              <w:rPr>
                <w:b/>
                <w:bCs/>
              </w:rPr>
              <w:t>Case Officer</w:t>
            </w:r>
          </w:p>
          <w:p w:rsidR="00C91AC4" w:rsidRPr="00F448A8" w:rsidRDefault="00C91AC4" w:rsidP="003F37AC">
            <w:pPr>
              <w:rPr>
                <w:b/>
                <w:bCs/>
              </w:rPr>
            </w:pPr>
          </w:p>
        </w:tc>
        <w:tc>
          <w:tcPr>
            <w:tcW w:w="1984" w:type="dxa"/>
          </w:tcPr>
          <w:p w:rsidR="00C91AC4" w:rsidRPr="00F448A8" w:rsidRDefault="00C91AC4" w:rsidP="003F37AC">
            <w:r>
              <w:t>Michael Kemp</w:t>
            </w:r>
          </w:p>
        </w:tc>
        <w:tc>
          <w:tcPr>
            <w:tcW w:w="4644" w:type="dxa"/>
            <w:gridSpan w:val="2"/>
          </w:tcPr>
          <w:p w:rsidR="00C91AC4" w:rsidRPr="00F448A8" w:rsidRDefault="00C91AC4" w:rsidP="003F37AC"/>
        </w:tc>
      </w:tr>
      <w:tr w:rsidR="00C91AC4" w:rsidRPr="00F448A8" w:rsidTr="003F37AC">
        <w:tc>
          <w:tcPr>
            <w:tcW w:w="2660" w:type="dxa"/>
          </w:tcPr>
          <w:p w:rsidR="00C91AC4" w:rsidRPr="00F448A8" w:rsidRDefault="00C91AC4" w:rsidP="003F37AC">
            <w:r w:rsidRPr="00F448A8">
              <w:rPr>
                <w:b/>
                <w:bCs/>
              </w:rPr>
              <w:t>Agent:</w:t>
            </w:r>
            <w:r w:rsidRPr="00F448A8">
              <w:t xml:space="preserve"> </w:t>
            </w:r>
          </w:p>
        </w:tc>
        <w:tc>
          <w:tcPr>
            <w:tcW w:w="1984" w:type="dxa"/>
          </w:tcPr>
          <w:p w:rsidR="00C91AC4" w:rsidRPr="00F448A8" w:rsidRDefault="00C91AC4" w:rsidP="003F37AC">
            <w:r w:rsidRPr="00F448A8">
              <w:t>Mr Guy Roberts</w:t>
            </w:r>
          </w:p>
        </w:tc>
        <w:tc>
          <w:tcPr>
            <w:tcW w:w="1418" w:type="dxa"/>
          </w:tcPr>
          <w:p w:rsidR="00C91AC4" w:rsidRPr="00F448A8" w:rsidRDefault="00C91AC4" w:rsidP="003F37AC">
            <w:r w:rsidRPr="00F448A8">
              <w:rPr>
                <w:b/>
                <w:bCs/>
              </w:rPr>
              <w:t>Applicant:</w:t>
            </w:r>
            <w:r w:rsidRPr="00F448A8">
              <w:t xml:space="preserve"> </w:t>
            </w:r>
          </w:p>
        </w:tc>
        <w:tc>
          <w:tcPr>
            <w:tcW w:w="3226" w:type="dxa"/>
          </w:tcPr>
          <w:p w:rsidR="00C91AC4" w:rsidRPr="00F448A8" w:rsidRDefault="00C91AC4" w:rsidP="003F37AC">
            <w:r w:rsidRPr="00F448A8">
              <w:t>Mr R. Blackmore</w:t>
            </w:r>
          </w:p>
        </w:tc>
      </w:tr>
    </w:tbl>
    <w:p w:rsidR="00C91AC4" w:rsidRDefault="00C91AC4" w:rsidP="00C91AC4">
      <w:pPr>
        <w:pBdr>
          <w:bottom w:val="single" w:sz="4" w:space="1" w:color="auto"/>
        </w:pBdr>
        <w:jc w:val="both"/>
      </w:pPr>
    </w:p>
    <w:p w:rsidR="00C91AC4" w:rsidRDefault="00C91AC4" w:rsidP="00C91AC4">
      <w:pPr>
        <w:pBdr>
          <w:bottom w:val="single" w:sz="4" w:space="1" w:color="auto"/>
        </w:pBdr>
        <w:jc w:val="both"/>
      </w:pPr>
      <w:r w:rsidRPr="00AF1B8E">
        <w:rPr>
          <w:b/>
        </w:rPr>
        <w:t>Reason at Committee:</w:t>
      </w:r>
      <w:r>
        <w:t xml:space="preserve">  The proposals constitute major development. </w:t>
      </w:r>
    </w:p>
    <w:p w:rsidR="00C91AC4" w:rsidRDefault="00C91AC4" w:rsidP="00C91AC4">
      <w:pPr>
        <w:pBdr>
          <w:bottom w:val="single" w:sz="4" w:space="1" w:color="auto"/>
        </w:pBdr>
        <w:jc w:val="both"/>
      </w:pPr>
    </w:p>
    <w:p w:rsidR="00C91AC4" w:rsidRDefault="00C91AC4" w:rsidP="00C91AC4">
      <w:pPr>
        <w:widowControl w:val="0"/>
        <w:jc w:val="both"/>
        <w:rPr>
          <w:b/>
          <w:bCs/>
        </w:rPr>
      </w:pPr>
    </w:p>
    <w:p w:rsidR="00C91AC4" w:rsidRDefault="00C91AC4" w:rsidP="00C91AC4">
      <w:pPr>
        <w:widowControl w:val="0"/>
        <w:jc w:val="both"/>
        <w:rPr>
          <w:b/>
          <w:bCs/>
        </w:rPr>
      </w:pPr>
    </w:p>
    <w:p w:rsidR="00C91AC4" w:rsidRDefault="00C91AC4" w:rsidP="00C91AC4">
      <w:pPr>
        <w:widowControl w:val="0"/>
        <w:jc w:val="both"/>
        <w:rPr>
          <w:b/>
          <w:bCs/>
        </w:rPr>
      </w:pPr>
      <w:r>
        <w:rPr>
          <w:b/>
          <w:bCs/>
        </w:rPr>
        <w:t xml:space="preserve">COMMITTEE REPORT ADDENDUM </w:t>
      </w:r>
    </w:p>
    <w:p w:rsidR="00C91AC4" w:rsidRDefault="00C91AC4" w:rsidP="00C91AC4">
      <w:pPr>
        <w:widowControl w:val="0"/>
        <w:jc w:val="both"/>
        <w:rPr>
          <w:b/>
          <w:bCs/>
        </w:rPr>
      </w:pPr>
    </w:p>
    <w:p w:rsidR="00C91AC4" w:rsidRPr="00985B20" w:rsidRDefault="00C91AC4" w:rsidP="00C91AC4">
      <w:pPr>
        <w:widowControl w:val="0"/>
        <w:jc w:val="both"/>
        <w:rPr>
          <w:b/>
          <w:bCs/>
        </w:rPr>
      </w:pPr>
      <w:r>
        <w:rPr>
          <w:b/>
          <w:bCs/>
        </w:rPr>
        <w:t>IMPLICATIONS OF REVISED NATIONAL PLANNING POLICY FRAMEWORK (JULY 2018)</w:t>
      </w:r>
    </w:p>
    <w:p w:rsidR="00646348" w:rsidRDefault="00646348" w:rsidP="008A22C6">
      <w:pPr>
        <w:rPr>
          <w:u w:val="single"/>
        </w:rPr>
      </w:pPr>
    </w:p>
    <w:p w:rsidR="00950E9F" w:rsidRPr="008731E0" w:rsidRDefault="00950E9F" w:rsidP="00950E9F">
      <w:pPr>
        <w:numPr>
          <w:ilvl w:val="1"/>
          <w:numId w:val="1"/>
        </w:numPr>
        <w:autoSpaceDE w:val="0"/>
        <w:autoSpaceDN w:val="0"/>
        <w:ind w:left="426" w:hanging="710"/>
        <w:jc w:val="both"/>
        <w:rPr>
          <w:bCs/>
        </w:rPr>
      </w:pPr>
      <w:r w:rsidRPr="008731E0">
        <w:rPr>
          <w:bCs/>
        </w:rPr>
        <w:t>Since the publication of the agenda for this committee, the government has revised the National Planning Policy Framework (NPPF).  This replaces the version published in March 2012 which was quoted throughout the committee report:</w:t>
      </w:r>
    </w:p>
    <w:p w:rsidR="00950E9F" w:rsidRPr="008731E0" w:rsidRDefault="00950E9F" w:rsidP="00950E9F">
      <w:pPr>
        <w:ind w:left="426"/>
        <w:jc w:val="both"/>
        <w:rPr>
          <w:bCs/>
        </w:rPr>
      </w:pPr>
    </w:p>
    <w:p w:rsidR="008257A5" w:rsidRPr="005C44E5" w:rsidRDefault="008257A5" w:rsidP="008257A5">
      <w:pPr>
        <w:numPr>
          <w:ilvl w:val="1"/>
          <w:numId w:val="1"/>
        </w:numPr>
        <w:autoSpaceDE w:val="0"/>
        <w:autoSpaceDN w:val="0"/>
        <w:ind w:left="426" w:hanging="710"/>
        <w:jc w:val="both"/>
        <w:rPr>
          <w:bCs/>
        </w:rPr>
      </w:pPr>
      <w:r w:rsidRPr="008731E0">
        <w:rPr>
          <w:bCs/>
        </w:rPr>
        <w:t>The following table should supersed</w:t>
      </w:r>
      <w:r>
        <w:rPr>
          <w:bCs/>
        </w:rPr>
        <w:t>e the table listed under paragraph 8</w:t>
      </w:r>
      <w:r w:rsidRPr="008731E0">
        <w:rPr>
          <w:bCs/>
        </w:rPr>
        <w:t>.1 of the committee report.</w:t>
      </w:r>
      <w:bookmarkStart w:id="0" w:name="_GoBack"/>
      <w:bookmarkEnd w:id="0"/>
    </w:p>
    <w:p w:rsidR="008257A5" w:rsidRDefault="008257A5" w:rsidP="008257A5">
      <w:pPr>
        <w:pStyle w:val="ListParagraph"/>
        <w:rPr>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8257A5" w:rsidRPr="003A7C49" w:rsidTr="003F37AC">
        <w:trPr>
          <w:trHeight w:val="573"/>
        </w:trPr>
        <w:tc>
          <w:tcPr>
            <w:tcW w:w="1809" w:type="dxa"/>
            <w:tcBorders>
              <w:bottom w:val="single" w:sz="18" w:space="0" w:color="4F81BD"/>
            </w:tcBorders>
            <w:shd w:val="clear" w:color="auto" w:fill="548DD4"/>
          </w:tcPr>
          <w:p w:rsidR="008257A5" w:rsidRPr="003A7C49" w:rsidRDefault="008257A5" w:rsidP="003F37AC">
            <w:pPr>
              <w:jc w:val="both"/>
              <w:rPr>
                <w:color w:val="FFFFFF"/>
                <w:sz w:val="22"/>
                <w:szCs w:val="22"/>
              </w:rPr>
            </w:pPr>
            <w:r w:rsidRPr="003A7C49">
              <w:rPr>
                <w:color w:val="FFFFFF"/>
                <w:sz w:val="22"/>
                <w:szCs w:val="22"/>
              </w:rPr>
              <w:t>Topic</w:t>
            </w:r>
          </w:p>
        </w:tc>
        <w:tc>
          <w:tcPr>
            <w:tcW w:w="1560" w:type="dxa"/>
            <w:tcBorders>
              <w:bottom w:val="single" w:sz="18" w:space="0" w:color="4F81BD"/>
            </w:tcBorders>
            <w:shd w:val="clear" w:color="auto" w:fill="548DD4"/>
            <w:hideMark/>
          </w:tcPr>
          <w:p w:rsidR="008257A5" w:rsidRPr="003A7C49" w:rsidRDefault="008257A5" w:rsidP="003F37AC">
            <w:pPr>
              <w:jc w:val="both"/>
              <w:rPr>
                <w:b/>
                <w:bCs/>
                <w:color w:val="FFFFFF"/>
                <w:sz w:val="22"/>
                <w:szCs w:val="22"/>
              </w:rPr>
            </w:pPr>
            <w:r w:rsidRPr="003A7C49">
              <w:rPr>
                <w:color w:val="FFFFFF"/>
                <w:sz w:val="22"/>
                <w:szCs w:val="22"/>
              </w:rPr>
              <w:t>National Planning Policy Framework (NPPF)</w:t>
            </w:r>
          </w:p>
        </w:tc>
        <w:tc>
          <w:tcPr>
            <w:tcW w:w="1417" w:type="dxa"/>
            <w:tcBorders>
              <w:bottom w:val="single" w:sz="18" w:space="0" w:color="4F81BD"/>
            </w:tcBorders>
            <w:shd w:val="clear" w:color="auto" w:fill="548DD4"/>
            <w:hideMark/>
          </w:tcPr>
          <w:p w:rsidR="008257A5" w:rsidRPr="003A7C49" w:rsidRDefault="008257A5" w:rsidP="003F37AC">
            <w:pPr>
              <w:jc w:val="both"/>
              <w:rPr>
                <w:b/>
                <w:bCs/>
                <w:color w:val="FFFFFF"/>
                <w:sz w:val="22"/>
                <w:szCs w:val="22"/>
              </w:rPr>
            </w:pPr>
            <w:r w:rsidRPr="003A7C49">
              <w:rPr>
                <w:color w:val="FFFFFF"/>
                <w:sz w:val="22"/>
                <w:szCs w:val="22"/>
              </w:rPr>
              <w:t>Local Plan</w:t>
            </w:r>
          </w:p>
        </w:tc>
        <w:tc>
          <w:tcPr>
            <w:tcW w:w="1418" w:type="dxa"/>
            <w:tcBorders>
              <w:bottom w:val="single" w:sz="18" w:space="0" w:color="4F81BD"/>
            </w:tcBorders>
            <w:shd w:val="clear" w:color="auto" w:fill="548DD4"/>
          </w:tcPr>
          <w:p w:rsidR="008257A5" w:rsidRPr="003A7C49" w:rsidRDefault="008257A5" w:rsidP="003F37AC">
            <w:pPr>
              <w:jc w:val="both"/>
              <w:rPr>
                <w:color w:val="FFFFFF"/>
                <w:sz w:val="22"/>
                <w:szCs w:val="22"/>
              </w:rPr>
            </w:pPr>
            <w:r w:rsidRPr="003A7C49">
              <w:rPr>
                <w:color w:val="FFFFFF"/>
                <w:sz w:val="22"/>
                <w:szCs w:val="22"/>
              </w:rPr>
              <w:t>Core Strategy</w:t>
            </w:r>
          </w:p>
        </w:tc>
        <w:tc>
          <w:tcPr>
            <w:tcW w:w="1701" w:type="dxa"/>
            <w:tcBorders>
              <w:bottom w:val="single" w:sz="18" w:space="0" w:color="4F81BD"/>
            </w:tcBorders>
            <w:shd w:val="clear" w:color="auto" w:fill="548DD4"/>
          </w:tcPr>
          <w:p w:rsidR="008257A5" w:rsidRPr="003A7C49" w:rsidRDefault="008257A5" w:rsidP="003F37AC">
            <w:pPr>
              <w:jc w:val="both"/>
              <w:rPr>
                <w:color w:val="FFFFFF"/>
                <w:sz w:val="22"/>
                <w:szCs w:val="22"/>
              </w:rPr>
            </w:pPr>
            <w:r w:rsidRPr="003A7C49">
              <w:rPr>
                <w:color w:val="FFFFFF"/>
                <w:sz w:val="22"/>
                <w:szCs w:val="22"/>
              </w:rPr>
              <w:t>Sites and Housing Plan</w:t>
            </w:r>
          </w:p>
        </w:tc>
        <w:tc>
          <w:tcPr>
            <w:tcW w:w="1701" w:type="dxa"/>
            <w:tcBorders>
              <w:bottom w:val="single" w:sz="18" w:space="0" w:color="4F81BD"/>
            </w:tcBorders>
            <w:shd w:val="clear" w:color="auto" w:fill="548DD4"/>
          </w:tcPr>
          <w:p w:rsidR="008257A5" w:rsidRPr="003A7C49" w:rsidRDefault="008257A5" w:rsidP="003F37AC">
            <w:pPr>
              <w:jc w:val="both"/>
              <w:rPr>
                <w:color w:val="FFFFFF"/>
                <w:sz w:val="22"/>
                <w:szCs w:val="22"/>
              </w:rPr>
            </w:pPr>
            <w:r w:rsidRPr="003A7C49">
              <w:rPr>
                <w:color w:val="FFFFFF"/>
                <w:sz w:val="22"/>
                <w:szCs w:val="22"/>
              </w:rPr>
              <w:t>Other Planning Documents</w:t>
            </w:r>
          </w:p>
        </w:tc>
      </w:tr>
      <w:tr w:rsidR="008257A5" w:rsidRPr="003A7C49" w:rsidTr="003F37AC">
        <w:trPr>
          <w:trHeight w:val="900"/>
        </w:trPr>
        <w:tc>
          <w:tcPr>
            <w:tcW w:w="1809" w:type="dxa"/>
            <w:shd w:val="clear" w:color="auto" w:fill="548DD4"/>
          </w:tcPr>
          <w:p w:rsidR="008257A5" w:rsidRPr="003A7C49" w:rsidRDefault="008257A5" w:rsidP="003F37AC">
            <w:pPr>
              <w:jc w:val="center"/>
              <w:rPr>
                <w:b/>
                <w:color w:val="FFFFFF"/>
                <w:sz w:val="22"/>
                <w:szCs w:val="22"/>
              </w:rPr>
            </w:pPr>
            <w:r>
              <w:rPr>
                <w:b/>
                <w:color w:val="FFFFFF"/>
                <w:sz w:val="22"/>
                <w:szCs w:val="22"/>
              </w:rPr>
              <w:t>Design</w:t>
            </w:r>
          </w:p>
        </w:tc>
        <w:tc>
          <w:tcPr>
            <w:tcW w:w="1560" w:type="dxa"/>
          </w:tcPr>
          <w:p w:rsidR="008257A5" w:rsidRPr="003A7C49" w:rsidRDefault="008257A5" w:rsidP="003F37AC">
            <w:pPr>
              <w:jc w:val="both"/>
              <w:rPr>
                <w:bCs/>
                <w:sz w:val="22"/>
                <w:szCs w:val="22"/>
              </w:rPr>
            </w:pPr>
            <w:r>
              <w:rPr>
                <w:bCs/>
                <w:sz w:val="22"/>
                <w:szCs w:val="22"/>
              </w:rPr>
              <w:t>12</w:t>
            </w:r>
          </w:p>
        </w:tc>
        <w:tc>
          <w:tcPr>
            <w:tcW w:w="1417" w:type="dxa"/>
          </w:tcPr>
          <w:p w:rsidR="008257A5" w:rsidRPr="003A7C49" w:rsidRDefault="008257A5" w:rsidP="003F37AC">
            <w:pPr>
              <w:jc w:val="both"/>
              <w:rPr>
                <w:bCs/>
                <w:iCs/>
                <w:sz w:val="22"/>
                <w:szCs w:val="22"/>
              </w:rPr>
            </w:pPr>
            <w:r>
              <w:rPr>
                <w:bCs/>
                <w:iCs/>
                <w:sz w:val="22"/>
                <w:szCs w:val="22"/>
              </w:rPr>
              <w:t>CP1, CP8, CP9, CP10, CP11</w:t>
            </w:r>
          </w:p>
        </w:tc>
        <w:tc>
          <w:tcPr>
            <w:tcW w:w="1418" w:type="dxa"/>
          </w:tcPr>
          <w:p w:rsidR="008257A5" w:rsidRPr="003A7C49" w:rsidRDefault="008257A5" w:rsidP="003F37AC">
            <w:pPr>
              <w:jc w:val="both"/>
              <w:rPr>
                <w:bCs/>
                <w:iCs/>
                <w:sz w:val="22"/>
                <w:szCs w:val="22"/>
              </w:rPr>
            </w:pPr>
            <w:r>
              <w:rPr>
                <w:bCs/>
                <w:iCs/>
                <w:sz w:val="22"/>
                <w:szCs w:val="22"/>
              </w:rPr>
              <w:t>CS18</w:t>
            </w:r>
          </w:p>
        </w:tc>
        <w:tc>
          <w:tcPr>
            <w:tcW w:w="1701" w:type="dxa"/>
          </w:tcPr>
          <w:p w:rsidR="008257A5" w:rsidRPr="003A7C49" w:rsidRDefault="008257A5" w:rsidP="003F37AC">
            <w:pPr>
              <w:jc w:val="both"/>
              <w:rPr>
                <w:bCs/>
                <w:iCs/>
                <w:sz w:val="22"/>
                <w:szCs w:val="22"/>
              </w:rPr>
            </w:pPr>
          </w:p>
        </w:tc>
        <w:tc>
          <w:tcPr>
            <w:tcW w:w="1701" w:type="dxa"/>
          </w:tcPr>
          <w:p w:rsidR="008257A5" w:rsidRPr="003A7C49" w:rsidRDefault="008257A5" w:rsidP="003F37AC">
            <w:pPr>
              <w:jc w:val="both"/>
              <w:rPr>
                <w:bCs/>
                <w:iCs/>
                <w:sz w:val="22"/>
                <w:szCs w:val="22"/>
              </w:rPr>
            </w:pPr>
          </w:p>
        </w:tc>
      </w:tr>
      <w:tr w:rsidR="008257A5" w:rsidRPr="003A7C49" w:rsidTr="003F37AC">
        <w:trPr>
          <w:trHeight w:val="900"/>
        </w:trPr>
        <w:tc>
          <w:tcPr>
            <w:tcW w:w="1809" w:type="dxa"/>
            <w:shd w:val="clear" w:color="auto" w:fill="548DD4"/>
          </w:tcPr>
          <w:p w:rsidR="008257A5" w:rsidRPr="003A7C49" w:rsidRDefault="008257A5" w:rsidP="003F37AC">
            <w:pPr>
              <w:jc w:val="center"/>
              <w:rPr>
                <w:b/>
                <w:color w:val="FFFFFF"/>
                <w:sz w:val="22"/>
                <w:szCs w:val="22"/>
              </w:rPr>
            </w:pPr>
            <w:r>
              <w:rPr>
                <w:b/>
                <w:color w:val="FFFFFF"/>
                <w:sz w:val="22"/>
                <w:szCs w:val="22"/>
              </w:rPr>
              <w:t>Natural Environment</w:t>
            </w:r>
          </w:p>
        </w:tc>
        <w:tc>
          <w:tcPr>
            <w:tcW w:w="1560" w:type="dxa"/>
            <w:shd w:val="clear" w:color="auto" w:fill="D3DFEE"/>
          </w:tcPr>
          <w:p w:rsidR="008257A5" w:rsidRPr="003A7C49" w:rsidRDefault="008257A5" w:rsidP="003F37AC">
            <w:pPr>
              <w:jc w:val="both"/>
              <w:rPr>
                <w:bCs/>
                <w:sz w:val="22"/>
                <w:szCs w:val="22"/>
              </w:rPr>
            </w:pPr>
            <w:r>
              <w:rPr>
                <w:bCs/>
                <w:sz w:val="22"/>
                <w:szCs w:val="22"/>
              </w:rPr>
              <w:t>12, 13</w:t>
            </w:r>
          </w:p>
        </w:tc>
        <w:tc>
          <w:tcPr>
            <w:tcW w:w="1417" w:type="dxa"/>
            <w:shd w:val="clear" w:color="auto" w:fill="D3DFEE"/>
          </w:tcPr>
          <w:p w:rsidR="008257A5" w:rsidRPr="003A7C49" w:rsidRDefault="008257A5" w:rsidP="003F37AC">
            <w:pPr>
              <w:jc w:val="both"/>
              <w:rPr>
                <w:bCs/>
                <w:iCs/>
                <w:sz w:val="22"/>
                <w:szCs w:val="22"/>
              </w:rPr>
            </w:pPr>
          </w:p>
        </w:tc>
        <w:tc>
          <w:tcPr>
            <w:tcW w:w="1418" w:type="dxa"/>
            <w:shd w:val="clear" w:color="auto" w:fill="D3DFEE"/>
          </w:tcPr>
          <w:p w:rsidR="008257A5" w:rsidRPr="003A7C49" w:rsidRDefault="008257A5" w:rsidP="003F37AC">
            <w:pPr>
              <w:jc w:val="both"/>
              <w:rPr>
                <w:bCs/>
                <w:iCs/>
                <w:sz w:val="22"/>
                <w:szCs w:val="22"/>
              </w:rPr>
            </w:pPr>
            <w:r>
              <w:rPr>
                <w:bCs/>
                <w:iCs/>
                <w:sz w:val="22"/>
                <w:szCs w:val="22"/>
              </w:rPr>
              <w:t xml:space="preserve">CS4 </w:t>
            </w:r>
          </w:p>
        </w:tc>
        <w:tc>
          <w:tcPr>
            <w:tcW w:w="1701" w:type="dxa"/>
            <w:shd w:val="clear" w:color="auto" w:fill="D3DFEE"/>
          </w:tcPr>
          <w:p w:rsidR="008257A5" w:rsidRPr="003A7C49" w:rsidRDefault="008257A5" w:rsidP="003F37AC">
            <w:pPr>
              <w:jc w:val="both"/>
              <w:rPr>
                <w:bCs/>
                <w:iCs/>
                <w:sz w:val="22"/>
                <w:szCs w:val="22"/>
              </w:rPr>
            </w:pPr>
          </w:p>
        </w:tc>
        <w:tc>
          <w:tcPr>
            <w:tcW w:w="1701" w:type="dxa"/>
            <w:shd w:val="clear" w:color="auto" w:fill="D3DFEE"/>
          </w:tcPr>
          <w:p w:rsidR="008257A5" w:rsidRPr="003A7C49" w:rsidRDefault="008257A5" w:rsidP="003F37AC">
            <w:pPr>
              <w:jc w:val="both"/>
              <w:rPr>
                <w:bCs/>
                <w:iCs/>
                <w:sz w:val="22"/>
                <w:szCs w:val="22"/>
              </w:rPr>
            </w:pPr>
          </w:p>
        </w:tc>
      </w:tr>
      <w:tr w:rsidR="008257A5" w:rsidRPr="003A7C49" w:rsidTr="003F37AC">
        <w:trPr>
          <w:trHeight w:val="600"/>
        </w:trPr>
        <w:tc>
          <w:tcPr>
            <w:tcW w:w="1809" w:type="dxa"/>
            <w:shd w:val="clear" w:color="auto" w:fill="548DD4"/>
          </w:tcPr>
          <w:p w:rsidR="008257A5" w:rsidRPr="003A7C49" w:rsidRDefault="008257A5" w:rsidP="003F37AC">
            <w:pPr>
              <w:jc w:val="center"/>
              <w:rPr>
                <w:b/>
                <w:color w:val="FFFFFF"/>
                <w:sz w:val="22"/>
                <w:szCs w:val="22"/>
              </w:rPr>
            </w:pPr>
            <w:r>
              <w:rPr>
                <w:b/>
                <w:color w:val="FFFFFF"/>
                <w:sz w:val="22"/>
                <w:szCs w:val="22"/>
              </w:rPr>
              <w:t>Social and community</w:t>
            </w:r>
          </w:p>
        </w:tc>
        <w:tc>
          <w:tcPr>
            <w:tcW w:w="1560" w:type="dxa"/>
          </w:tcPr>
          <w:p w:rsidR="008257A5" w:rsidRPr="003A7C49" w:rsidRDefault="008257A5" w:rsidP="003F37AC">
            <w:pPr>
              <w:jc w:val="both"/>
              <w:rPr>
                <w:bCs/>
                <w:sz w:val="22"/>
                <w:szCs w:val="22"/>
              </w:rPr>
            </w:pPr>
            <w:r>
              <w:rPr>
                <w:bCs/>
                <w:sz w:val="22"/>
                <w:szCs w:val="22"/>
              </w:rPr>
              <w:t>8</w:t>
            </w:r>
          </w:p>
        </w:tc>
        <w:tc>
          <w:tcPr>
            <w:tcW w:w="1417" w:type="dxa"/>
          </w:tcPr>
          <w:p w:rsidR="008257A5" w:rsidRPr="003A7C49" w:rsidRDefault="008257A5" w:rsidP="003F37AC">
            <w:pPr>
              <w:jc w:val="both"/>
              <w:rPr>
                <w:bCs/>
                <w:iCs/>
                <w:sz w:val="22"/>
                <w:szCs w:val="22"/>
              </w:rPr>
            </w:pPr>
          </w:p>
        </w:tc>
        <w:tc>
          <w:tcPr>
            <w:tcW w:w="1418" w:type="dxa"/>
          </w:tcPr>
          <w:p w:rsidR="008257A5" w:rsidRPr="003A7C49" w:rsidRDefault="008257A5" w:rsidP="003F37AC">
            <w:pPr>
              <w:jc w:val="both"/>
              <w:rPr>
                <w:bCs/>
                <w:iCs/>
                <w:sz w:val="22"/>
                <w:szCs w:val="22"/>
              </w:rPr>
            </w:pPr>
            <w:r>
              <w:rPr>
                <w:bCs/>
                <w:iCs/>
                <w:sz w:val="22"/>
                <w:szCs w:val="22"/>
              </w:rPr>
              <w:t>CS21</w:t>
            </w:r>
          </w:p>
        </w:tc>
        <w:tc>
          <w:tcPr>
            <w:tcW w:w="1701" w:type="dxa"/>
          </w:tcPr>
          <w:p w:rsidR="008257A5" w:rsidRPr="003A7C49" w:rsidRDefault="008257A5" w:rsidP="003F37AC">
            <w:pPr>
              <w:jc w:val="both"/>
              <w:rPr>
                <w:bCs/>
                <w:iCs/>
                <w:sz w:val="22"/>
                <w:szCs w:val="22"/>
              </w:rPr>
            </w:pPr>
          </w:p>
        </w:tc>
        <w:tc>
          <w:tcPr>
            <w:tcW w:w="1701" w:type="dxa"/>
          </w:tcPr>
          <w:p w:rsidR="008257A5" w:rsidRPr="003A7C49" w:rsidRDefault="008257A5" w:rsidP="003F37AC">
            <w:pPr>
              <w:jc w:val="both"/>
              <w:rPr>
                <w:bCs/>
                <w:iCs/>
                <w:sz w:val="22"/>
                <w:szCs w:val="22"/>
              </w:rPr>
            </w:pPr>
          </w:p>
        </w:tc>
      </w:tr>
      <w:tr w:rsidR="008257A5" w:rsidRPr="003A7C49" w:rsidTr="003F37AC">
        <w:trPr>
          <w:trHeight w:val="300"/>
        </w:trPr>
        <w:tc>
          <w:tcPr>
            <w:tcW w:w="1809" w:type="dxa"/>
            <w:shd w:val="clear" w:color="auto" w:fill="548DD4"/>
          </w:tcPr>
          <w:p w:rsidR="008257A5" w:rsidRPr="003A7C49" w:rsidRDefault="008257A5" w:rsidP="003F37AC">
            <w:pPr>
              <w:jc w:val="both"/>
              <w:rPr>
                <w:b/>
                <w:color w:val="FFFFFF"/>
                <w:sz w:val="22"/>
                <w:szCs w:val="22"/>
              </w:rPr>
            </w:pPr>
            <w:r w:rsidRPr="003A7C49">
              <w:rPr>
                <w:b/>
                <w:color w:val="FFFFFF"/>
                <w:sz w:val="22"/>
                <w:szCs w:val="22"/>
              </w:rPr>
              <w:t>Transport</w:t>
            </w:r>
          </w:p>
        </w:tc>
        <w:tc>
          <w:tcPr>
            <w:tcW w:w="1560" w:type="dxa"/>
            <w:shd w:val="clear" w:color="auto" w:fill="D3DFEE"/>
          </w:tcPr>
          <w:p w:rsidR="008257A5" w:rsidRPr="003A7C49" w:rsidRDefault="008257A5" w:rsidP="003F37AC">
            <w:pPr>
              <w:jc w:val="both"/>
              <w:rPr>
                <w:bCs/>
                <w:sz w:val="22"/>
                <w:szCs w:val="22"/>
              </w:rPr>
            </w:pPr>
            <w:r>
              <w:rPr>
                <w:bCs/>
                <w:sz w:val="22"/>
                <w:szCs w:val="22"/>
              </w:rPr>
              <w:t>9</w:t>
            </w:r>
          </w:p>
        </w:tc>
        <w:tc>
          <w:tcPr>
            <w:tcW w:w="1417" w:type="dxa"/>
            <w:shd w:val="clear" w:color="auto" w:fill="D3DFEE"/>
          </w:tcPr>
          <w:p w:rsidR="008257A5" w:rsidRPr="003A7C49" w:rsidRDefault="008257A5" w:rsidP="003F37AC">
            <w:pPr>
              <w:jc w:val="both"/>
              <w:rPr>
                <w:bCs/>
                <w:iCs/>
                <w:sz w:val="22"/>
                <w:szCs w:val="22"/>
              </w:rPr>
            </w:pPr>
            <w:r>
              <w:rPr>
                <w:bCs/>
                <w:iCs/>
                <w:sz w:val="22"/>
                <w:szCs w:val="22"/>
              </w:rPr>
              <w:t xml:space="preserve">TR1, TR2, TR3, TR4, </w:t>
            </w:r>
          </w:p>
        </w:tc>
        <w:tc>
          <w:tcPr>
            <w:tcW w:w="1418" w:type="dxa"/>
            <w:shd w:val="clear" w:color="auto" w:fill="D3DFEE"/>
          </w:tcPr>
          <w:p w:rsidR="008257A5" w:rsidRPr="003A7C49" w:rsidRDefault="008257A5" w:rsidP="003F37AC">
            <w:pPr>
              <w:jc w:val="both"/>
              <w:rPr>
                <w:bCs/>
                <w:iCs/>
                <w:sz w:val="22"/>
                <w:szCs w:val="22"/>
              </w:rPr>
            </w:pPr>
            <w:r>
              <w:rPr>
                <w:bCs/>
                <w:iCs/>
                <w:sz w:val="22"/>
                <w:szCs w:val="22"/>
              </w:rPr>
              <w:t>CS13</w:t>
            </w:r>
          </w:p>
        </w:tc>
        <w:tc>
          <w:tcPr>
            <w:tcW w:w="1701" w:type="dxa"/>
            <w:shd w:val="clear" w:color="auto" w:fill="D3DFEE"/>
          </w:tcPr>
          <w:p w:rsidR="008257A5" w:rsidRPr="003A7C49" w:rsidRDefault="008257A5" w:rsidP="003F37AC">
            <w:pPr>
              <w:jc w:val="both"/>
              <w:rPr>
                <w:bCs/>
                <w:iCs/>
                <w:sz w:val="22"/>
                <w:szCs w:val="22"/>
              </w:rPr>
            </w:pPr>
          </w:p>
        </w:tc>
        <w:tc>
          <w:tcPr>
            <w:tcW w:w="1701" w:type="dxa"/>
            <w:shd w:val="clear" w:color="auto" w:fill="D3DFEE"/>
          </w:tcPr>
          <w:p w:rsidR="008257A5" w:rsidRPr="003A7C49" w:rsidRDefault="008257A5" w:rsidP="003F37AC">
            <w:pPr>
              <w:jc w:val="both"/>
              <w:rPr>
                <w:bCs/>
                <w:iCs/>
                <w:sz w:val="22"/>
                <w:szCs w:val="22"/>
              </w:rPr>
            </w:pPr>
            <w:r w:rsidRPr="003A7C49">
              <w:rPr>
                <w:bCs/>
                <w:iCs/>
                <w:sz w:val="22"/>
                <w:szCs w:val="22"/>
              </w:rPr>
              <w:t>Parking Standards SPD</w:t>
            </w:r>
          </w:p>
        </w:tc>
      </w:tr>
      <w:tr w:rsidR="008257A5" w:rsidRPr="003A7C49" w:rsidTr="003F37AC">
        <w:trPr>
          <w:trHeight w:val="900"/>
        </w:trPr>
        <w:tc>
          <w:tcPr>
            <w:tcW w:w="1809" w:type="dxa"/>
            <w:shd w:val="clear" w:color="auto" w:fill="548DD4"/>
          </w:tcPr>
          <w:p w:rsidR="008257A5" w:rsidRPr="003A7C49" w:rsidRDefault="008257A5" w:rsidP="003F37AC">
            <w:pPr>
              <w:jc w:val="both"/>
              <w:rPr>
                <w:b/>
                <w:color w:val="FFFFFF"/>
                <w:sz w:val="22"/>
                <w:szCs w:val="22"/>
              </w:rPr>
            </w:pPr>
            <w:r w:rsidRPr="003A7C49">
              <w:rPr>
                <w:b/>
                <w:color w:val="FFFFFF"/>
                <w:sz w:val="22"/>
                <w:szCs w:val="22"/>
              </w:rPr>
              <w:t>Environmental</w:t>
            </w:r>
          </w:p>
        </w:tc>
        <w:tc>
          <w:tcPr>
            <w:tcW w:w="1560" w:type="dxa"/>
          </w:tcPr>
          <w:p w:rsidR="008257A5" w:rsidRPr="003A7C49" w:rsidRDefault="008257A5" w:rsidP="003F37AC">
            <w:pPr>
              <w:jc w:val="both"/>
              <w:rPr>
                <w:bCs/>
                <w:sz w:val="22"/>
                <w:szCs w:val="22"/>
              </w:rPr>
            </w:pPr>
            <w:r>
              <w:rPr>
                <w:bCs/>
                <w:sz w:val="22"/>
                <w:szCs w:val="22"/>
              </w:rPr>
              <w:t>12</w:t>
            </w:r>
          </w:p>
        </w:tc>
        <w:tc>
          <w:tcPr>
            <w:tcW w:w="1417" w:type="dxa"/>
          </w:tcPr>
          <w:p w:rsidR="008257A5" w:rsidRPr="003A7C49" w:rsidRDefault="008257A5" w:rsidP="003F37AC">
            <w:pPr>
              <w:jc w:val="both"/>
              <w:rPr>
                <w:bCs/>
                <w:iCs/>
                <w:sz w:val="22"/>
                <w:szCs w:val="22"/>
              </w:rPr>
            </w:pPr>
          </w:p>
        </w:tc>
        <w:tc>
          <w:tcPr>
            <w:tcW w:w="1418" w:type="dxa"/>
          </w:tcPr>
          <w:p w:rsidR="008257A5" w:rsidRPr="003A7C49" w:rsidRDefault="008257A5" w:rsidP="003F37AC">
            <w:pPr>
              <w:jc w:val="both"/>
              <w:rPr>
                <w:bCs/>
                <w:iCs/>
                <w:sz w:val="22"/>
                <w:szCs w:val="22"/>
              </w:rPr>
            </w:pPr>
          </w:p>
        </w:tc>
        <w:tc>
          <w:tcPr>
            <w:tcW w:w="1701" w:type="dxa"/>
          </w:tcPr>
          <w:p w:rsidR="008257A5" w:rsidRPr="003A7C49" w:rsidRDefault="008257A5" w:rsidP="003F37AC">
            <w:pPr>
              <w:jc w:val="both"/>
              <w:rPr>
                <w:bCs/>
                <w:iCs/>
                <w:sz w:val="22"/>
                <w:szCs w:val="22"/>
              </w:rPr>
            </w:pPr>
          </w:p>
        </w:tc>
        <w:tc>
          <w:tcPr>
            <w:tcW w:w="1701" w:type="dxa"/>
          </w:tcPr>
          <w:p w:rsidR="008257A5" w:rsidRPr="003A7C49" w:rsidRDefault="008257A5" w:rsidP="003F37AC">
            <w:pPr>
              <w:jc w:val="both"/>
              <w:rPr>
                <w:bCs/>
                <w:iCs/>
                <w:sz w:val="22"/>
                <w:szCs w:val="22"/>
              </w:rPr>
            </w:pPr>
          </w:p>
        </w:tc>
      </w:tr>
      <w:tr w:rsidR="008257A5" w:rsidRPr="003A7C49" w:rsidTr="003F37AC">
        <w:trPr>
          <w:trHeight w:val="600"/>
        </w:trPr>
        <w:tc>
          <w:tcPr>
            <w:tcW w:w="1809" w:type="dxa"/>
            <w:shd w:val="clear" w:color="auto" w:fill="548DD4"/>
          </w:tcPr>
          <w:p w:rsidR="008257A5" w:rsidRPr="003A7C49" w:rsidRDefault="008257A5" w:rsidP="003F37AC">
            <w:pPr>
              <w:jc w:val="both"/>
              <w:rPr>
                <w:b/>
                <w:color w:val="FFFFFF"/>
                <w:sz w:val="22"/>
                <w:szCs w:val="22"/>
              </w:rPr>
            </w:pPr>
            <w:proofErr w:type="spellStart"/>
            <w:r w:rsidRPr="003A7C49">
              <w:rPr>
                <w:b/>
                <w:color w:val="FFFFFF"/>
                <w:sz w:val="22"/>
                <w:szCs w:val="22"/>
              </w:rPr>
              <w:t>Misc</w:t>
            </w:r>
            <w:proofErr w:type="spellEnd"/>
          </w:p>
        </w:tc>
        <w:tc>
          <w:tcPr>
            <w:tcW w:w="1560" w:type="dxa"/>
            <w:shd w:val="clear" w:color="auto" w:fill="D3DFEE"/>
          </w:tcPr>
          <w:p w:rsidR="008257A5" w:rsidRPr="003A7C49" w:rsidRDefault="008257A5" w:rsidP="003F37AC">
            <w:pPr>
              <w:jc w:val="both"/>
              <w:rPr>
                <w:bCs/>
                <w:sz w:val="22"/>
                <w:szCs w:val="22"/>
              </w:rPr>
            </w:pPr>
          </w:p>
        </w:tc>
        <w:tc>
          <w:tcPr>
            <w:tcW w:w="1417" w:type="dxa"/>
            <w:shd w:val="clear" w:color="auto" w:fill="D3DFEE"/>
          </w:tcPr>
          <w:p w:rsidR="008257A5" w:rsidRPr="003A7C49" w:rsidRDefault="008257A5" w:rsidP="003F37AC">
            <w:pPr>
              <w:jc w:val="both"/>
              <w:rPr>
                <w:bCs/>
                <w:iCs/>
                <w:sz w:val="22"/>
                <w:szCs w:val="22"/>
              </w:rPr>
            </w:pPr>
            <w:r w:rsidRPr="003A7C49">
              <w:rPr>
                <w:bCs/>
                <w:iCs/>
                <w:sz w:val="22"/>
                <w:szCs w:val="22"/>
              </w:rPr>
              <w:t>CP.13, CP.24, CP.25</w:t>
            </w:r>
          </w:p>
        </w:tc>
        <w:tc>
          <w:tcPr>
            <w:tcW w:w="1418" w:type="dxa"/>
            <w:shd w:val="clear" w:color="auto" w:fill="D3DFEE"/>
          </w:tcPr>
          <w:p w:rsidR="008257A5" w:rsidRPr="003A7C49" w:rsidRDefault="008257A5" w:rsidP="003F37AC">
            <w:pPr>
              <w:jc w:val="both"/>
              <w:rPr>
                <w:bCs/>
                <w:iCs/>
                <w:sz w:val="22"/>
                <w:szCs w:val="22"/>
              </w:rPr>
            </w:pPr>
          </w:p>
        </w:tc>
        <w:tc>
          <w:tcPr>
            <w:tcW w:w="1701" w:type="dxa"/>
            <w:shd w:val="clear" w:color="auto" w:fill="D3DFEE"/>
          </w:tcPr>
          <w:p w:rsidR="008257A5" w:rsidRPr="003A7C49" w:rsidRDefault="008257A5" w:rsidP="003F37AC">
            <w:pPr>
              <w:jc w:val="both"/>
              <w:rPr>
                <w:bCs/>
                <w:iCs/>
                <w:sz w:val="22"/>
                <w:szCs w:val="22"/>
              </w:rPr>
            </w:pPr>
            <w:r w:rsidRPr="003A7C49">
              <w:rPr>
                <w:bCs/>
                <w:iCs/>
                <w:sz w:val="22"/>
                <w:szCs w:val="22"/>
              </w:rPr>
              <w:t>MP1</w:t>
            </w:r>
          </w:p>
        </w:tc>
        <w:tc>
          <w:tcPr>
            <w:tcW w:w="1701" w:type="dxa"/>
            <w:shd w:val="clear" w:color="auto" w:fill="D3DFEE"/>
          </w:tcPr>
          <w:p w:rsidR="008257A5" w:rsidRPr="003A7C49" w:rsidRDefault="008257A5" w:rsidP="003F37AC">
            <w:pPr>
              <w:jc w:val="both"/>
              <w:rPr>
                <w:bCs/>
                <w:iCs/>
                <w:sz w:val="22"/>
                <w:szCs w:val="22"/>
              </w:rPr>
            </w:pPr>
          </w:p>
        </w:tc>
      </w:tr>
    </w:tbl>
    <w:p w:rsidR="008257A5" w:rsidRDefault="008257A5" w:rsidP="008257A5">
      <w:pPr>
        <w:autoSpaceDE w:val="0"/>
        <w:autoSpaceDN w:val="0"/>
        <w:jc w:val="both"/>
        <w:rPr>
          <w:bCs/>
        </w:rPr>
      </w:pPr>
    </w:p>
    <w:p w:rsidR="008257A5" w:rsidRDefault="008257A5" w:rsidP="008257A5">
      <w:pPr>
        <w:pStyle w:val="ListParagraph"/>
      </w:pPr>
    </w:p>
    <w:p w:rsidR="008257A5" w:rsidRDefault="00646348" w:rsidP="008A22C6">
      <w:pPr>
        <w:numPr>
          <w:ilvl w:val="1"/>
          <w:numId w:val="1"/>
        </w:numPr>
        <w:autoSpaceDE w:val="0"/>
        <w:autoSpaceDN w:val="0"/>
        <w:ind w:left="426" w:hanging="710"/>
        <w:jc w:val="both"/>
        <w:rPr>
          <w:bCs/>
        </w:rPr>
      </w:pPr>
      <w:r>
        <w:t xml:space="preserve">Paragraph 10.3 of the officers report references Paragraph 70 of the 2012 NPPF, which supports in principle the </w:t>
      </w:r>
      <w:r w:rsidR="001F4794">
        <w:t xml:space="preserve">provision </w:t>
      </w:r>
      <w:r>
        <w:t xml:space="preserve">of sports and recreation </w:t>
      </w:r>
      <w:r w:rsidR="001F4794">
        <w:t xml:space="preserve">facilities. </w:t>
      </w:r>
      <w:r w:rsidR="00C64692">
        <w:t xml:space="preserve">The provisions of Paragraph 70 are identically replicated within Paragraph 92 of the superseding </w:t>
      </w:r>
      <w:r w:rsidR="00AF5B36">
        <w:t xml:space="preserve">NPPF and consequently there are no additional considerations to account for when determining the in principle acceptability of sports and recreation based development such as that proposed within this application. </w:t>
      </w:r>
    </w:p>
    <w:p w:rsidR="008257A5" w:rsidRDefault="008257A5" w:rsidP="008257A5">
      <w:pPr>
        <w:pStyle w:val="ListParagraph"/>
      </w:pPr>
    </w:p>
    <w:p w:rsidR="008257A5" w:rsidRDefault="00646348" w:rsidP="008A22C6">
      <w:pPr>
        <w:numPr>
          <w:ilvl w:val="1"/>
          <w:numId w:val="1"/>
        </w:numPr>
        <w:autoSpaceDE w:val="0"/>
        <w:autoSpaceDN w:val="0"/>
        <w:ind w:left="426" w:hanging="710"/>
        <w:jc w:val="both"/>
        <w:rPr>
          <w:bCs/>
        </w:rPr>
      </w:pPr>
      <w:r>
        <w:t xml:space="preserve">Paragraph 10.5 of the officer’s report references Paragraph 89 of the 2012 NPPF. Paragraph 89 of the 2012 NPPF </w:t>
      </w:r>
      <w:r w:rsidR="00F13E21">
        <w:t xml:space="preserve">considers that a local planning authority should regard the construction of new buildings in the Green Belt as inappropriate though this paragraph lists exceptions to inappropriate </w:t>
      </w:r>
      <w:r w:rsidR="00EF67FF">
        <w:t>development;</w:t>
      </w:r>
      <w:r>
        <w:t xml:space="preserve"> this includes the provision of appropriate facilities for outdoor sport and recreation as long as it preserves the openness </w:t>
      </w:r>
      <w:r w:rsidR="006E0F1E">
        <w:t xml:space="preserve">of the Green Belt. Paragraph 10.9 of the </w:t>
      </w:r>
      <w:r w:rsidR="00F13E21">
        <w:t>officer’s</w:t>
      </w:r>
      <w:r w:rsidR="006E0F1E">
        <w:t xml:space="preserve"> report concludes that the development complies wit</w:t>
      </w:r>
      <w:r w:rsidR="00F13E21">
        <w:t xml:space="preserve">h Paragraph 89 of the 2012 NPPF. </w:t>
      </w:r>
    </w:p>
    <w:p w:rsidR="008257A5" w:rsidRDefault="008257A5" w:rsidP="008257A5">
      <w:pPr>
        <w:pStyle w:val="ListParagraph"/>
      </w:pPr>
    </w:p>
    <w:p w:rsidR="008257A5" w:rsidRDefault="00F13E21" w:rsidP="008A22C6">
      <w:pPr>
        <w:numPr>
          <w:ilvl w:val="1"/>
          <w:numId w:val="1"/>
        </w:numPr>
        <w:autoSpaceDE w:val="0"/>
        <w:autoSpaceDN w:val="0"/>
        <w:ind w:left="426" w:hanging="710"/>
        <w:jc w:val="both"/>
        <w:rPr>
          <w:bCs/>
        </w:rPr>
      </w:pPr>
      <w:r>
        <w:t>Paragraph 89 of the 2012 NPPF is directly superseded by Paragraph 145 of the amended NPPF, which replicates</w:t>
      </w:r>
      <w:r w:rsidR="00EF67FF">
        <w:t xml:space="preserve"> word for word</w:t>
      </w:r>
      <w:r>
        <w:t xml:space="preserve"> </w:t>
      </w:r>
      <w:r w:rsidR="00AF5B36">
        <w:t xml:space="preserve">the </w:t>
      </w:r>
      <w:r w:rsidR="00EF67FF">
        <w:t>specific exceptions</w:t>
      </w:r>
      <w:r w:rsidR="00AF5B36">
        <w:t xml:space="preserve"> of superseded Paragraph 89. Consequently </w:t>
      </w:r>
      <w:r w:rsidR="00EF67FF">
        <w:t xml:space="preserve">the provision of appropriate facilities for outdoor sport and recreation as long as it preserves the openness </w:t>
      </w:r>
      <w:r w:rsidR="00AF5B36">
        <w:t xml:space="preserve">of the Green Belt remains an exception to inappropriate development. </w:t>
      </w:r>
    </w:p>
    <w:p w:rsidR="008257A5" w:rsidRDefault="008257A5" w:rsidP="008257A5">
      <w:pPr>
        <w:pStyle w:val="ListParagraph"/>
      </w:pPr>
    </w:p>
    <w:p w:rsidR="001F4794" w:rsidRPr="008257A5" w:rsidRDefault="002E51A0" w:rsidP="008A22C6">
      <w:pPr>
        <w:numPr>
          <w:ilvl w:val="1"/>
          <w:numId w:val="1"/>
        </w:numPr>
        <w:autoSpaceDE w:val="0"/>
        <w:autoSpaceDN w:val="0"/>
        <w:ind w:left="426" w:hanging="710"/>
        <w:jc w:val="both"/>
        <w:rPr>
          <w:bCs/>
        </w:rPr>
      </w:pPr>
      <w:r>
        <w:t xml:space="preserve">In summary the provisions of </w:t>
      </w:r>
      <w:r w:rsidR="00AF5B36">
        <w:t>Paragraph</w:t>
      </w:r>
      <w:r>
        <w:t xml:space="preserve"> </w:t>
      </w:r>
      <w:r w:rsidR="00AF5B36">
        <w:t xml:space="preserve">145 of the superseding </w:t>
      </w:r>
      <w:r>
        <w:t xml:space="preserve">NPPF, when dealing with the provision of new buildings in the Green Belt are no more or less </w:t>
      </w:r>
      <w:r>
        <w:lastRenderedPageBreak/>
        <w:t>restrictive</w:t>
      </w:r>
      <w:r w:rsidR="00AF5B36">
        <w:t xml:space="preserve"> than those of Paragraph 89 of the superseded framework</w:t>
      </w:r>
      <w:r>
        <w:t>.</w:t>
      </w:r>
      <w:r w:rsidR="00930514">
        <w:t xml:space="preserve"> Taking this into account, there are no additional implications to consider when determining the application on the basis of the superseding paragraphs of the NPPF. </w:t>
      </w:r>
    </w:p>
    <w:p w:rsidR="001F4794" w:rsidRPr="001F4794" w:rsidRDefault="001F4794" w:rsidP="001F4794"/>
    <w:p w:rsidR="001F4794" w:rsidRPr="001F4794" w:rsidRDefault="001F4794" w:rsidP="001F4794"/>
    <w:sectPr w:rsidR="001F4794" w:rsidRPr="001F4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706E6CE9"/>
    <w:multiLevelType w:val="hybridMultilevel"/>
    <w:tmpl w:val="ED44F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0C"/>
    <w:rsid w:val="0009450C"/>
    <w:rsid w:val="000B4310"/>
    <w:rsid w:val="001F4794"/>
    <w:rsid w:val="002E51A0"/>
    <w:rsid w:val="004000D7"/>
    <w:rsid w:val="00431EB5"/>
    <w:rsid w:val="00504E43"/>
    <w:rsid w:val="005C44E5"/>
    <w:rsid w:val="00646348"/>
    <w:rsid w:val="006E0F1E"/>
    <w:rsid w:val="007908F4"/>
    <w:rsid w:val="007B0F53"/>
    <w:rsid w:val="008257A5"/>
    <w:rsid w:val="008A22C6"/>
    <w:rsid w:val="00930514"/>
    <w:rsid w:val="00950E9F"/>
    <w:rsid w:val="00AF5B36"/>
    <w:rsid w:val="00C07F80"/>
    <w:rsid w:val="00C64692"/>
    <w:rsid w:val="00C91AC4"/>
    <w:rsid w:val="00EF67FF"/>
    <w:rsid w:val="00F13E21"/>
    <w:rsid w:val="00F16B6D"/>
    <w:rsid w:val="00FA10B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7A8A-E698-4063-A2B3-2161367E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76E3E040</Template>
  <TotalTime>9</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mkemp</dc:creator>
  <cp:lastModifiedBy>jthompson</cp:lastModifiedBy>
  <cp:revision>4</cp:revision>
  <cp:lastPrinted>2018-08-01T10:20:00Z</cp:lastPrinted>
  <dcterms:created xsi:type="dcterms:W3CDTF">2018-07-30T15:41:00Z</dcterms:created>
  <dcterms:modified xsi:type="dcterms:W3CDTF">2018-08-01T10:20:00Z</dcterms:modified>
</cp:coreProperties>
</file>